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6F8C0BEE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č. </w:t>
      </w:r>
      <w:r w:rsidRPr="00DA7812">
        <w:rPr>
          <w:b w:val="0"/>
          <w:bCs/>
          <w:u w:val="none"/>
          <w:lang w:eastAsia="en-US"/>
        </w:rPr>
        <w:t>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 w:rsidRPr="00782B7A">
        <w:rPr>
          <w:b w:val="0"/>
          <w:bCs/>
          <w:u w:val="none"/>
          <w:lang w:eastAsia="en-US"/>
        </w:rPr>
        <w:t xml:space="preserve">Č.j. </w:t>
      </w:r>
      <w:r w:rsidR="00F6691A" w:rsidRPr="00F6691A">
        <w:rPr>
          <w:b w:val="0"/>
          <w:bCs/>
          <w:u w:val="none"/>
          <w:lang w:eastAsia="en-US"/>
        </w:rPr>
        <w:t>19876/2025-SŽ-OŘ UNL-OVZ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2DA1412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826D98">
        <w:rPr>
          <w:b/>
          <w:bCs/>
        </w:rPr>
        <w:t xml:space="preserve">Číslo </w:t>
      </w:r>
      <w:r w:rsidR="00826D98" w:rsidRPr="00826D98">
        <w:rPr>
          <w:b/>
          <w:bCs/>
        </w:rPr>
        <w:t>investiční akce</w:t>
      </w:r>
      <w:r w:rsidRPr="00826D98">
        <w:rPr>
          <w:b/>
          <w:bCs/>
        </w:rPr>
        <w:t xml:space="preserve">: </w:t>
      </w:r>
      <w:r w:rsidR="00826D98" w:rsidRPr="00826D98">
        <w:rPr>
          <w:b/>
          <w:bCs/>
        </w:rPr>
        <w:t>I01305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02DDDE4" w:rsidR="00D85C5B" w:rsidRDefault="003466C9" w:rsidP="00826D9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826D98" w:rsidRPr="00826D98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63B5B832" w:rsidR="003466C9" w:rsidRDefault="003D318C" w:rsidP="003466C9">
      <w:pPr>
        <w:pStyle w:val="Textbezodsazen"/>
        <w:spacing w:line="360" w:lineRule="auto"/>
        <w:ind w:left="708" w:firstLine="708"/>
      </w:pPr>
      <w:hyperlink r:id="rId11" w:history="1">
        <w:r w:rsidRPr="00D614F1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Pernera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FE550E4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D46A5C" w:rsidRPr="00D46A5C">
        <w:rPr>
          <w:rFonts w:eastAsia="Times New Roman" w:cs="Times New Roman"/>
          <w:b/>
          <w:bCs/>
          <w:lang w:eastAsia="cs-CZ"/>
        </w:rPr>
        <w:t>Dodávka speciálního vozidla s hydraulickou rukou, nosičem kontejnerů pro OŘ UNL 2025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826D98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F142FE">
        <w:rPr>
          <w:rFonts w:eastAsia="Times New Roman" w:cs="Times New Roman"/>
          <w:lang w:eastAsia="cs-CZ"/>
        </w:rPr>
        <w:t>6502</w:t>
      </w:r>
      <w:bookmarkEnd w:id="0"/>
      <w:r w:rsidR="00826D98" w:rsidRPr="00F142FE">
        <w:rPr>
          <w:rFonts w:eastAsia="Times New Roman" w:cs="Times New Roman"/>
          <w:lang w:eastAsia="cs-CZ"/>
        </w:rPr>
        <w:t>50</w:t>
      </w:r>
      <w:r w:rsidR="00BC65C6">
        <w:rPr>
          <w:rFonts w:eastAsia="Times New Roman" w:cs="Times New Roman"/>
          <w:lang w:eastAsia="cs-CZ"/>
        </w:rPr>
        <w:t>70</w:t>
      </w:r>
      <w:r w:rsidRPr="00F142FE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597E47FF" w:rsidR="00D85C5B" w:rsidRPr="004705A8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Předmětem je</w:t>
      </w:r>
      <w:r w:rsidR="004705A8" w:rsidRPr="004705A8">
        <w:rPr>
          <w:rFonts w:eastAsia="Times New Roman" w:cs="Times New Roman"/>
          <w:lang w:eastAsia="cs-CZ"/>
        </w:rPr>
        <w:t xml:space="preserve"> </w:t>
      </w:r>
      <w:r w:rsidR="00E16A77" w:rsidRPr="004705A8">
        <w:rPr>
          <w:rFonts w:eastAsia="Times New Roman" w:cs="Times New Roman"/>
          <w:lang w:eastAsia="cs-CZ"/>
        </w:rPr>
        <w:t xml:space="preserve">koupě </w:t>
      </w:r>
      <w:r w:rsidR="004705A8" w:rsidRPr="004705A8">
        <w:rPr>
          <w:rFonts w:eastAsia="Times New Roman" w:cs="Times New Roman"/>
          <w:lang w:eastAsia="cs-CZ"/>
        </w:rPr>
        <w:t>speciální</w:t>
      </w:r>
      <w:r w:rsidR="007B7DFB">
        <w:rPr>
          <w:rFonts w:eastAsia="Times New Roman" w:cs="Times New Roman"/>
          <w:lang w:eastAsia="cs-CZ"/>
        </w:rPr>
        <w:t>ho</w:t>
      </w:r>
      <w:r w:rsidR="004705A8" w:rsidRPr="004705A8">
        <w:rPr>
          <w:rFonts w:eastAsia="Times New Roman" w:cs="Times New Roman"/>
          <w:lang w:eastAsia="cs-CZ"/>
        </w:rPr>
        <w:t xml:space="preserve"> vozidl</w:t>
      </w:r>
      <w:r w:rsidR="007B7DFB">
        <w:rPr>
          <w:rFonts w:eastAsia="Times New Roman" w:cs="Times New Roman"/>
          <w:lang w:eastAsia="cs-CZ"/>
        </w:rPr>
        <w:t>a</w:t>
      </w:r>
      <w:r w:rsidR="004705A8" w:rsidRPr="004705A8">
        <w:rPr>
          <w:rFonts w:eastAsia="Times New Roman" w:cs="Times New Roman"/>
          <w:lang w:eastAsia="cs-CZ"/>
        </w:rPr>
        <w:t xml:space="preserve"> s hydraulickou rukou, nosičem kontejnerů</w:t>
      </w:r>
      <w:r w:rsidRPr="004705A8">
        <w:rPr>
          <w:rFonts w:eastAsia="Times New Roman" w:cs="Times New Roman"/>
          <w:lang w:eastAsia="cs-CZ"/>
        </w:rPr>
        <w:t>.</w:t>
      </w:r>
    </w:p>
    <w:p w14:paraId="01CA54BB" w14:textId="2337EAA7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Přesná specifikace je uvedena v příloze č.</w:t>
      </w:r>
      <w:r w:rsidR="00255F3B" w:rsidRPr="004705A8">
        <w:rPr>
          <w:rFonts w:eastAsia="Times New Roman" w:cs="Times New Roman"/>
          <w:lang w:eastAsia="cs-CZ"/>
        </w:rPr>
        <w:t xml:space="preserve"> 2 </w:t>
      </w:r>
      <w:r w:rsidRPr="004705A8">
        <w:rPr>
          <w:rFonts w:eastAsia="Times New Roman" w:cs="Times New Roman"/>
          <w:lang w:eastAsia="cs-CZ"/>
        </w:rPr>
        <w:t xml:space="preserve">této </w:t>
      </w:r>
      <w:r w:rsidR="008B1447" w:rsidRPr="004705A8">
        <w:rPr>
          <w:rFonts w:eastAsia="Times New Roman" w:cs="Times New Roman"/>
          <w:lang w:eastAsia="cs-CZ"/>
        </w:rPr>
        <w:t>Sml</w:t>
      </w:r>
      <w:r w:rsidRPr="004705A8">
        <w:rPr>
          <w:rFonts w:eastAsia="Times New Roman" w:cs="Times New Roman"/>
          <w:lang w:eastAsia="cs-CZ"/>
        </w:rPr>
        <w:t>ouvy.</w:t>
      </w:r>
    </w:p>
    <w:p w14:paraId="31638D46" w14:textId="7777777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lastRenderedPageBreak/>
        <w:t>Předmět koupě musí splňovat, kromě minimálních technických parametrů a požadavků na výbavu i způsobilost k provozu na veřejných komunikacích v souladu s vyhláškou č. 341/2014 Sb., o schvalování technické způsobilosti a o technických podmínkách provozu vozidel na pozemních komunikacích (dále jen „vyhláška č. 341/2014 Sb.). Vozidla musí být schválena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532F8208" w14:textId="7777777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Dodávané vozidlo musí splňovat aktuálně platnou emisní normu.</w:t>
      </w:r>
    </w:p>
    <w:p w14:paraId="609C514F" w14:textId="44574C8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 xml:space="preserve">Předmět koupě musí být nový, s maximálním nájezdem do </w:t>
      </w:r>
      <w:r>
        <w:rPr>
          <w:rFonts w:eastAsia="Times New Roman" w:cs="Times New Roman"/>
          <w:lang w:eastAsia="cs-CZ"/>
        </w:rPr>
        <w:t>10</w:t>
      </w:r>
      <w:r w:rsidRPr="00EC5395">
        <w:rPr>
          <w:rFonts w:eastAsia="Times New Roman" w:cs="Times New Roman"/>
          <w:lang w:eastAsia="cs-CZ"/>
        </w:rPr>
        <w:t>0 km.</w:t>
      </w:r>
    </w:p>
    <w:p w14:paraId="1BAD1B9C" w14:textId="3AED43A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 xml:space="preserve">Na nabízeném </w:t>
      </w:r>
      <w:r>
        <w:rPr>
          <w:rFonts w:eastAsia="Times New Roman" w:cs="Times New Roman"/>
          <w:lang w:eastAsia="cs-CZ"/>
        </w:rPr>
        <w:t>speciálním</w:t>
      </w:r>
      <w:r w:rsidRPr="00EC5395">
        <w:rPr>
          <w:rFonts w:eastAsia="Times New Roman" w:cs="Times New Roman"/>
          <w:lang w:eastAsia="cs-CZ"/>
        </w:rPr>
        <w:t xml:space="preserve"> vozidle musí být proveden kompletní předprodejní servis.</w:t>
      </w:r>
    </w:p>
    <w:p w14:paraId="4B2A509E" w14:textId="653FB30E" w:rsidR="00845228" w:rsidRPr="00845228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Prodávající je povinen zajistit přihlášení předmětu koupě (vozidla) do registru silničních vozidel, pokud se smluvní strany nedohodnou jinak. Poplatek za registraci vozidla musí být zahrnut v pořizovací ceně vozidel.</w:t>
      </w:r>
    </w:p>
    <w:p w14:paraId="29584421" w14:textId="2BBC721F" w:rsidR="00D85C5B" w:rsidRPr="007B7DFB" w:rsidRDefault="00D85C5B" w:rsidP="000E4F4B">
      <w:pPr>
        <w:pStyle w:val="Nadpis1"/>
        <w:rPr>
          <w:rFonts w:eastAsia="Times New Roman"/>
          <w:lang w:eastAsia="cs-CZ"/>
        </w:rPr>
      </w:pPr>
      <w:r w:rsidRPr="007B7DFB">
        <w:rPr>
          <w:rStyle w:val="Siln"/>
          <w:rFonts w:eastAsiaTheme="majorEastAsia"/>
          <w:b/>
        </w:rPr>
        <w:t>Kupní</w:t>
      </w:r>
      <w:r w:rsidRPr="007B7DFB">
        <w:rPr>
          <w:rFonts w:eastAsia="Times New Roman"/>
          <w:lang w:eastAsia="cs-CZ"/>
        </w:rPr>
        <w:t xml:space="preserve"> cena </w:t>
      </w:r>
      <w:r w:rsidR="00F20995" w:rsidRPr="007B7DFB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21%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7B7DFB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7B7DFB">
        <w:rPr>
          <w:rFonts w:eastAsia="Times New Roman" w:cs="Times New Roman"/>
          <w:lang w:eastAsia="cs-CZ"/>
        </w:rPr>
        <w:t xml:space="preserve">Přílohou č. </w:t>
      </w:r>
      <w:r w:rsidR="00255F3B" w:rsidRPr="007B7DFB">
        <w:rPr>
          <w:rFonts w:eastAsia="Times New Roman" w:cs="Times New Roman"/>
          <w:lang w:eastAsia="cs-CZ"/>
        </w:rPr>
        <w:t>3</w:t>
      </w:r>
      <w:r w:rsidR="008B46D3" w:rsidRPr="007B7DFB">
        <w:rPr>
          <w:rFonts w:eastAsia="Times New Roman" w:cs="Times New Roman"/>
          <w:lang w:eastAsia="cs-CZ"/>
        </w:rPr>
        <w:t xml:space="preserve"> této Smlouvy</w:t>
      </w:r>
      <w:r w:rsidRPr="007B7DFB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875C80D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bude uhrazena na základě </w:t>
      </w:r>
      <w:r w:rsidRPr="007B7DFB">
        <w:rPr>
          <w:rFonts w:eastAsia="Times New Roman" w:cs="Times New Roman"/>
          <w:lang w:eastAsia="cs-CZ"/>
        </w:rPr>
        <w:t xml:space="preserve">předávacího protokolu podepsaného oběma </w:t>
      </w:r>
      <w:r w:rsidR="008B1447" w:rsidRPr="007B7DFB">
        <w:rPr>
          <w:rFonts w:eastAsia="Times New Roman" w:cs="Times New Roman"/>
          <w:lang w:eastAsia="cs-CZ"/>
        </w:rPr>
        <w:t>Sml</w:t>
      </w:r>
      <w:r w:rsidRPr="007B7DFB">
        <w:rPr>
          <w:rFonts w:eastAsia="Times New Roman" w:cs="Times New Roman"/>
          <w:lang w:eastAsia="cs-CZ"/>
        </w:rPr>
        <w:t>uvními stranami</w:t>
      </w:r>
      <w:r w:rsidR="007B7DFB" w:rsidRPr="007B7DFB">
        <w:rPr>
          <w:rFonts w:eastAsia="Times New Roman" w:cs="Times New Roman"/>
          <w:lang w:eastAsia="cs-CZ"/>
        </w:rPr>
        <w:t xml:space="preserve"> a vystavené faktury/daňového dokladu</w:t>
      </w:r>
      <w:r w:rsidR="002B20CA" w:rsidRPr="007B7DFB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Pernera 217, 530 02 Pardubice.</w:t>
      </w:r>
    </w:p>
    <w:p w14:paraId="4D3E1381" w14:textId="39E73C0E" w:rsidR="004F403A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7B7DFB">
        <w:rPr>
          <w:rFonts w:eastAsia="Times New Roman" w:cs="Times New Roman"/>
          <w:lang w:eastAsia="cs-CZ"/>
        </w:rPr>
        <w:t>4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6BD77305" w14:textId="77777777" w:rsidR="006D4D2F" w:rsidRPr="00255F3B" w:rsidRDefault="006D4D2F" w:rsidP="006D4D2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Místo a doba dodání</w:t>
      </w:r>
    </w:p>
    <w:p w14:paraId="37954E98" w14:textId="4AD3F167" w:rsidR="00D85C5B" w:rsidRPr="0003589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 xml:space="preserve">Místo dodání je </w:t>
      </w:r>
      <w:r w:rsidR="0003589A">
        <w:rPr>
          <w:rFonts w:eastAsia="Times New Roman" w:cs="Times New Roman"/>
          <w:lang w:eastAsia="cs-CZ"/>
        </w:rPr>
        <w:t>na adrese</w:t>
      </w:r>
      <w:r w:rsidR="0003589A" w:rsidRPr="0003589A">
        <w:rPr>
          <w:rFonts w:eastAsia="Times New Roman" w:cs="Times New Roman"/>
          <w:lang w:eastAsia="cs-CZ"/>
        </w:rPr>
        <w:t xml:space="preserve"> Mlýnská 3514/9, 434 01 Rudolice</w:t>
      </w:r>
      <w:r w:rsidRPr="0003589A">
        <w:rPr>
          <w:rFonts w:eastAsia="Times New Roman" w:cs="Times New Roman"/>
          <w:lang w:eastAsia="cs-CZ"/>
        </w:rPr>
        <w:t>.</w:t>
      </w:r>
    </w:p>
    <w:p w14:paraId="5115D35D" w14:textId="45A7DC3F" w:rsidR="00D85C5B" w:rsidRPr="0003589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Předmět koupě bude dodán do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r w:rsidR="0083030A">
        <w:rPr>
          <w:rFonts w:eastAsia="Times New Roman" w:cs="Times New Roman"/>
          <w:b/>
          <w:bCs/>
          <w:lang w:eastAsia="cs-CZ"/>
        </w:rPr>
        <w:t>6 měsíců od nabytí účinnosti smlouvy</w:t>
      </w:r>
      <w:r w:rsidRPr="0003589A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3589A" w:rsidRDefault="00D85C5B" w:rsidP="000E4F4B">
      <w:pPr>
        <w:pStyle w:val="Nadpis1"/>
        <w:rPr>
          <w:rFonts w:eastAsia="Times New Roman"/>
          <w:lang w:eastAsia="cs-CZ"/>
        </w:rPr>
      </w:pPr>
      <w:r w:rsidRPr="0003589A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Listiny (doklady)</w:t>
      </w:r>
    </w:p>
    <w:p w14:paraId="247584B4" w14:textId="5F0212A9" w:rsidR="00D85C5B" w:rsidRPr="006D4D2F" w:rsidRDefault="00D85C5B" w:rsidP="006D4D2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D4D2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  <w:r w:rsidR="006D4D2F" w:rsidRPr="006D4D2F">
        <w:rPr>
          <w:rFonts w:eastAsia="Times New Roman" w:cs="Times New Roman"/>
          <w:lang w:eastAsia="cs-CZ"/>
        </w:rPr>
        <w:t xml:space="preserve"> Osvědčení o registraci vozidla, pokud se smluvní strany nedohodnou jinak dle odst. 1.7., </w:t>
      </w:r>
      <w:r w:rsidR="0003589A" w:rsidRPr="006D4D2F">
        <w:rPr>
          <w:rFonts w:eastAsia="Times New Roman" w:cs="Times New Roman"/>
          <w:lang w:eastAsia="cs-CZ"/>
        </w:rPr>
        <w:t>Návod k obsluze</w:t>
      </w:r>
      <w:r w:rsidRPr="006D4D2F">
        <w:rPr>
          <w:rFonts w:eastAsia="Times New Roman" w:cs="Times New Roman"/>
          <w:lang w:eastAsia="cs-CZ"/>
        </w:rPr>
        <w:t>,</w:t>
      </w:r>
      <w:r w:rsidR="0003589A" w:rsidRPr="006D4D2F">
        <w:rPr>
          <w:rFonts w:eastAsia="Times New Roman" w:cs="Times New Roman"/>
          <w:lang w:eastAsia="cs-CZ"/>
        </w:rPr>
        <w:t xml:space="preserve"> Servisní kniha</w:t>
      </w:r>
      <w:r w:rsidR="00845228" w:rsidRPr="006D4D2F">
        <w:rPr>
          <w:rFonts w:eastAsia="Times New Roman" w:cs="Times New Roman"/>
          <w:lang w:eastAsia="cs-CZ"/>
        </w:rPr>
        <w:t xml:space="preserve"> </w:t>
      </w:r>
      <w:r w:rsidR="006D4D2F" w:rsidRPr="006D4D2F">
        <w:rPr>
          <w:rFonts w:eastAsia="Times New Roman" w:cs="Times New Roman"/>
          <w:lang w:eastAsia="cs-CZ"/>
        </w:rPr>
        <w:t>(</w:t>
      </w:r>
      <w:r w:rsidR="00845228" w:rsidRPr="006D4D2F">
        <w:rPr>
          <w:rFonts w:eastAsia="Times New Roman" w:cs="Times New Roman"/>
          <w:lang w:eastAsia="cs-CZ"/>
        </w:rPr>
        <w:t>popř. elektronická</w:t>
      </w:r>
      <w:r w:rsidR="006D4D2F" w:rsidRPr="006D4D2F">
        <w:rPr>
          <w:rFonts w:eastAsia="Times New Roman" w:cs="Times New Roman"/>
          <w:lang w:eastAsia="cs-CZ"/>
        </w:rPr>
        <w:t xml:space="preserve"> servisní kniha)</w:t>
      </w:r>
      <w:r w:rsidR="0003589A" w:rsidRPr="006D4D2F">
        <w:rPr>
          <w:rFonts w:eastAsia="Times New Roman" w:cs="Times New Roman"/>
          <w:lang w:eastAsia="cs-CZ"/>
        </w:rPr>
        <w:t>,</w:t>
      </w:r>
      <w:r w:rsidRPr="006D4D2F">
        <w:rPr>
          <w:rFonts w:eastAsia="Times New Roman" w:cs="Times New Roman"/>
          <w:lang w:eastAsia="cs-CZ"/>
        </w:rPr>
        <w:t xml:space="preserve"> </w:t>
      </w:r>
      <w:r w:rsidR="0003589A" w:rsidRPr="006D4D2F">
        <w:rPr>
          <w:rFonts w:eastAsia="Times New Roman" w:cs="Times New Roman"/>
          <w:lang w:eastAsia="cs-CZ"/>
        </w:rPr>
        <w:t xml:space="preserve">COC list, </w:t>
      </w:r>
      <w:r w:rsidR="006D4D2F" w:rsidRPr="006D4D2F">
        <w:rPr>
          <w:rFonts w:eastAsia="Times New Roman" w:cs="Times New Roman"/>
          <w:lang w:eastAsia="cs-CZ"/>
        </w:rPr>
        <w:t>Smlouva</w:t>
      </w:r>
      <w:r w:rsidR="0083030A">
        <w:rPr>
          <w:rFonts w:eastAsia="Times New Roman" w:cs="Times New Roman"/>
          <w:lang w:eastAsia="cs-CZ"/>
        </w:rPr>
        <w:t>, Prohlášení o shodě</w:t>
      </w:r>
      <w:r w:rsidRPr="006D4D2F">
        <w:rPr>
          <w:rFonts w:eastAsia="Times New Roman" w:cs="Times New Roman"/>
          <w:lang w:eastAsia="cs-CZ"/>
        </w:rPr>
        <w:t>.</w:t>
      </w:r>
    </w:p>
    <w:p w14:paraId="4B70C07C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Záruka</w:t>
      </w:r>
    </w:p>
    <w:p w14:paraId="6AF415A5" w14:textId="0BC439A5" w:rsidR="009146AF" w:rsidRPr="00845228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45228">
        <w:rPr>
          <w:rFonts w:eastAsia="Times New Roman" w:cs="Times New Roman"/>
          <w:lang w:eastAsia="cs-CZ"/>
        </w:rPr>
        <w:t xml:space="preserve">Záruční doba činí </w:t>
      </w:r>
      <w:r w:rsidR="00BE472C" w:rsidRPr="00845228">
        <w:rPr>
          <w:rFonts w:eastAsia="Times New Roman" w:cs="Times New Roman"/>
          <w:lang w:eastAsia="cs-CZ"/>
        </w:rPr>
        <w:t xml:space="preserve">min. </w:t>
      </w:r>
      <w:r w:rsidRPr="00845228">
        <w:rPr>
          <w:rFonts w:eastAsia="Times New Roman" w:cs="Times New Roman"/>
          <w:lang w:eastAsia="cs-CZ"/>
        </w:rPr>
        <w:t xml:space="preserve">24 </w:t>
      </w:r>
      <w:r w:rsidR="00BE472C" w:rsidRPr="00845228">
        <w:rPr>
          <w:rFonts w:eastAsia="Times New Roman" w:cs="Times New Roman"/>
          <w:lang w:eastAsia="cs-CZ"/>
        </w:rPr>
        <w:t>měsíců, pokud není uvedeno jinak v příloze č. 2 této Smlouvy.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037994C2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BE472C">
        <w:rPr>
          <w:rFonts w:eastAsia="Times New Roman" w:cs="Times New Roman"/>
          <w:b w:val="0"/>
          <w:u w:val="none"/>
          <w:lang w:eastAsia="cs-CZ"/>
        </w:rPr>
        <w:t>3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41C5AB50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28AD4ABF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smluvních a obchodních (mimo podpisu této smlouvy):</w:t>
      </w:r>
    </w:p>
    <w:p w14:paraId="1B195682" w14:textId="59B4DE16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Bc. Lucie Křehlíková, tel. +420 972 424 425, email </w:t>
      </w:r>
      <w:hyperlink r:id="rId14" w:history="1">
        <w:r w:rsidRPr="00E3485E">
          <w:rPr>
            <w:rStyle w:val="Hypertextovodkaz"/>
            <w:lang w:eastAsia="cs-CZ"/>
          </w:rPr>
          <w:t>Krehlikova@spravazeleznic.cz</w:t>
        </w:r>
      </w:hyperlink>
      <w:r>
        <w:rPr>
          <w:lang w:eastAsia="cs-CZ"/>
        </w:rPr>
        <w:t xml:space="preserve">  </w:t>
      </w:r>
    </w:p>
    <w:p w14:paraId="361879E4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technických:</w:t>
      </w:r>
    </w:p>
    <w:p w14:paraId="6408F04D" w14:textId="0DD410D4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Jaroslav Beneš, tel. +420 972 422 093, +420 724 800 493, email </w:t>
      </w:r>
      <w:hyperlink r:id="rId15" w:history="1">
        <w:r w:rsidRPr="00E3485E">
          <w:rPr>
            <w:rStyle w:val="Hypertextovodkaz"/>
            <w:lang w:eastAsia="cs-CZ"/>
          </w:rPr>
          <w:t>BenesJ@spravazeleznic.cz</w:t>
        </w:r>
      </w:hyperlink>
      <w:r>
        <w:rPr>
          <w:lang w:eastAsia="cs-CZ"/>
        </w:rPr>
        <w:t xml:space="preserve">  </w:t>
      </w:r>
    </w:p>
    <w:p w14:paraId="107DC61E" w14:textId="5792CFE0" w:rsidR="00E153F0" w:rsidRPr="00E153F0" w:rsidRDefault="00E153F0" w:rsidP="00BE472C">
      <w:pPr>
        <w:pStyle w:val="Odstavecseseznamem"/>
        <w:ind w:left="1418"/>
        <w:rPr>
          <w:i/>
          <w:iCs/>
          <w:lang w:eastAsia="cs-CZ"/>
        </w:rPr>
      </w:pPr>
      <w:r w:rsidRPr="00E153F0">
        <w:rPr>
          <w:i/>
          <w:iCs/>
          <w:lang w:eastAsia="cs-CZ"/>
        </w:rPr>
        <w:t>kontakt na osobu místa plnění</w:t>
      </w:r>
      <w:r w:rsidR="003A1E25">
        <w:rPr>
          <w:i/>
          <w:iCs/>
          <w:lang w:eastAsia="cs-CZ"/>
        </w:rPr>
        <w:t xml:space="preserve"> </w:t>
      </w:r>
      <w:r w:rsidR="003A1E25" w:rsidRPr="003A1E25">
        <w:rPr>
          <w:i/>
          <w:iCs/>
          <w:lang w:eastAsia="cs-CZ"/>
        </w:rPr>
        <w:t>(Rudolice – Most)</w:t>
      </w:r>
      <w:r w:rsidRPr="003A1E25">
        <w:rPr>
          <w:i/>
          <w:iCs/>
          <w:lang w:eastAsia="cs-CZ"/>
        </w:rPr>
        <w:t>:</w:t>
      </w:r>
    </w:p>
    <w:p w14:paraId="708B6D9B" w14:textId="7A24B1A1" w:rsidR="00E153F0" w:rsidRDefault="00E153F0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Jiří Novák, tel. +420 725 862 627 email </w:t>
      </w:r>
      <w:hyperlink r:id="rId16" w:history="1">
        <w:r w:rsidR="003A1E25" w:rsidRPr="00932892">
          <w:rPr>
            <w:rStyle w:val="Hypertextovodkaz"/>
            <w:lang w:eastAsia="cs-CZ"/>
          </w:rPr>
          <w:t>NovakJiri3@spravazeleznic.cz</w:t>
        </w:r>
      </w:hyperlink>
      <w:r>
        <w:rPr>
          <w:lang w:eastAsia="cs-CZ"/>
        </w:rPr>
        <w:t xml:space="preserve"> </w:t>
      </w:r>
    </w:p>
    <w:p w14:paraId="371DA69D" w14:textId="77777777" w:rsidR="00BE472C" w:rsidRPr="00142929" w:rsidRDefault="00BE472C" w:rsidP="007F03BC">
      <w:pPr>
        <w:pStyle w:val="Odstavecseseznamem"/>
        <w:spacing w:after="0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…………………….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E35C55">
      <w:pPr>
        <w:pStyle w:val="Odstavecseseznamem"/>
        <w:spacing w:after="0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…………………….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ust.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</w:t>
      </w:r>
      <w:r w:rsidRPr="00480FE8">
        <w:rPr>
          <w:b w:val="0"/>
          <w:u w:val="none"/>
          <w:lang w:eastAsia="cs-CZ"/>
        </w:rPr>
        <w:lastRenderedPageBreak/>
        <w:t>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</w:t>
      </w:r>
      <w:r w:rsidR="001A3602" w:rsidRPr="00EE5848">
        <w:rPr>
          <w:b w:val="0"/>
          <w:u w:val="none"/>
          <w:lang w:eastAsia="cs-CZ"/>
        </w:rPr>
        <w:t xml:space="preserve">ve výši </w:t>
      </w:r>
      <w:r w:rsidR="00AA52E0" w:rsidRPr="00EE5848">
        <w:rPr>
          <w:b w:val="0"/>
          <w:u w:val="none"/>
          <w:lang w:eastAsia="cs-CZ"/>
        </w:rPr>
        <w:t>5</w:t>
      </w:r>
      <w:r w:rsidR="001A3602" w:rsidRPr="00EE5848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7AE63931" w14:textId="77777777" w:rsidR="001826C2" w:rsidRPr="00195759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95759">
        <w:rPr>
          <w:rFonts w:eastAsia="Times New Roman" w:cs="Times New Roman"/>
          <w:b w:val="0"/>
          <w:u w:val="none"/>
          <w:lang w:eastAsia="cs-CZ"/>
        </w:rPr>
        <w:t>Tato Smlouva je vyhotovena elektronicky a podepsána zaručeným elektronickým podpisem založeným na kvalifikovaném certifikátu pro elektronický podpis nebo kvalifikovaným elektronickým podpisem</w:t>
      </w:r>
      <w:r>
        <w:rPr>
          <w:rFonts w:eastAsia="Times New Roman" w:cs="Times New Roman"/>
          <w:b w:val="0"/>
          <w:u w:val="none"/>
          <w:lang w:eastAsia="cs-CZ"/>
        </w:rPr>
        <w:t>.</w:t>
      </w:r>
    </w:p>
    <w:p w14:paraId="6D2CF446" w14:textId="2AD49D35" w:rsidR="001826C2" w:rsidRPr="00195759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</w:pP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Nebo v případě vyhotovení Smlouvy v </w:t>
      </w:r>
      <w:r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analogobé</w:t>
      </w: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 podobě:</w:t>
      </w:r>
    </w:p>
    <w:p w14:paraId="403A20B1" w14:textId="52531CED" w:rsidR="001826C2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="00BC7766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</w:t>
      </w:r>
    </w:p>
    <w:p w14:paraId="07C89DC7" w14:textId="77777777" w:rsidR="001826C2" w:rsidRPr="009146AF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 této Smlouvy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C36727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C36727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C36727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C36727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C36727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4705A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Obchodní podmínky</w:t>
      </w:r>
    </w:p>
    <w:p w14:paraId="12242800" w14:textId="3C731A11" w:rsidR="003466C9" w:rsidRPr="004705A8" w:rsidRDefault="004705A8" w:rsidP="004705A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Oceněný položkový rozpočet vč. </w:t>
      </w:r>
      <w:r w:rsidR="003466C9" w:rsidRPr="004705A8">
        <w:rPr>
          <w:rFonts w:eastAsia="Times New Roman" w:cs="Times New Roman"/>
          <w:lang w:eastAsia="cs-CZ"/>
        </w:rPr>
        <w:t>Bližší specifikace předmětu koupě</w:t>
      </w:r>
    </w:p>
    <w:p w14:paraId="33EE2A21" w14:textId="49B9E281" w:rsidR="003466C9" w:rsidRPr="00EE584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Seznam poddodavatelů </w:t>
      </w:r>
      <w:r w:rsidRPr="004705A8">
        <w:rPr>
          <w:rFonts w:eastAsia="Times New Roman" w:cs="Times New Roman"/>
          <w:i/>
          <w:iCs/>
          <w:lang w:eastAsia="cs-CZ"/>
        </w:rPr>
        <w:t>–</w:t>
      </w:r>
      <w:r w:rsidR="00EE5848">
        <w:rPr>
          <w:rFonts w:eastAsia="Times New Roman" w:cs="Times New Roman"/>
          <w:i/>
          <w:iCs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(příloha č. 6 Zadávací dokumentace)</w:t>
      </w:r>
    </w:p>
    <w:p w14:paraId="52D2FDDE" w14:textId="4BF4CBE7" w:rsidR="003466C9" w:rsidRPr="00EE5848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i/>
          <w:iCs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>(pouze v případě zastoupení prodávajícího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EE5848">
        <w:rPr>
          <w:highlight w:val="green"/>
        </w:rPr>
        <w:t>V………………dne ……………</w:t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6CE33F9E" w14:textId="77777777" w:rsidR="00EE5848" w:rsidRDefault="00EE5848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5562C0A3" w14:textId="77777777" w:rsidR="00EE5848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noProof/>
          <w:highlight w:val="green"/>
        </w:rPr>
      </w:pPr>
      <w:r w:rsidRPr="0016558C">
        <w:rPr>
          <w:rFonts w:asciiTheme="majorHAnsi" w:hAnsiTheme="majorHAnsi"/>
          <w:b/>
          <w:noProof/>
        </w:rPr>
        <w:t>Ing. Martin Kašpar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A52782">
        <w:rPr>
          <w:rFonts w:asciiTheme="majorHAnsi" w:hAnsiTheme="majorHAnsi"/>
          <w:noProof/>
          <w:highlight w:val="green"/>
        </w:rPr>
        <w:t>[</w:t>
      </w:r>
      <w:r w:rsidRPr="00A52782">
        <w:rPr>
          <w:rFonts w:asciiTheme="majorHAnsi" w:hAnsiTheme="majorHAnsi"/>
          <w:i/>
          <w:iCs/>
          <w:noProof/>
          <w:highlight w:val="green"/>
        </w:rPr>
        <w:t>DOPLNÍ P</w:t>
      </w:r>
      <w:r>
        <w:rPr>
          <w:rFonts w:asciiTheme="majorHAnsi" w:hAnsiTheme="majorHAnsi"/>
          <w:i/>
          <w:iCs/>
          <w:noProof/>
          <w:highlight w:val="green"/>
        </w:rPr>
        <w:t>RODÁVAJÍCÍ</w:t>
      </w:r>
      <w:r w:rsidRPr="00A52782">
        <w:rPr>
          <w:rFonts w:asciiTheme="majorHAnsi" w:hAnsiTheme="majorHAnsi"/>
          <w:noProof/>
          <w:highlight w:val="green"/>
        </w:rPr>
        <w:t>]</w:t>
      </w:r>
    </w:p>
    <w:p w14:paraId="4884FE83" w14:textId="77777777" w:rsidR="00EE5848" w:rsidRPr="00331C4D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ředitel Oblastního ředitelství Ústí nad Labem</w:t>
      </w:r>
    </w:p>
    <w:p w14:paraId="3124C481" w14:textId="77777777" w:rsidR="00EE5848" w:rsidRPr="0016558C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Správa železnic, státní organizace</w:t>
      </w:r>
    </w:p>
    <w:p w14:paraId="11A2F6C4" w14:textId="49EE4891" w:rsidR="003466C9" w:rsidRDefault="003466C9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9D66D" w14:textId="2FB8F069" w:rsidR="0083030A" w:rsidRDefault="008303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8A8686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0CA36E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3589A"/>
    <w:rsid w:val="00054D01"/>
    <w:rsid w:val="00060FEC"/>
    <w:rsid w:val="00065284"/>
    <w:rsid w:val="00072C1E"/>
    <w:rsid w:val="00092B31"/>
    <w:rsid w:val="000A7FF7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20E77"/>
    <w:rsid w:val="00126C6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26C2"/>
    <w:rsid w:val="00184743"/>
    <w:rsid w:val="001861B8"/>
    <w:rsid w:val="001A3602"/>
    <w:rsid w:val="001A736B"/>
    <w:rsid w:val="001B540F"/>
    <w:rsid w:val="001C22E7"/>
    <w:rsid w:val="001C4874"/>
    <w:rsid w:val="001D3B35"/>
    <w:rsid w:val="001E62F8"/>
    <w:rsid w:val="00203507"/>
    <w:rsid w:val="00203BA9"/>
    <w:rsid w:val="00207DF5"/>
    <w:rsid w:val="00255F3B"/>
    <w:rsid w:val="00274795"/>
    <w:rsid w:val="00280E07"/>
    <w:rsid w:val="00283D05"/>
    <w:rsid w:val="00287059"/>
    <w:rsid w:val="002A5E9C"/>
    <w:rsid w:val="002A77EB"/>
    <w:rsid w:val="002B20CA"/>
    <w:rsid w:val="002B378D"/>
    <w:rsid w:val="002C31BF"/>
    <w:rsid w:val="002C400D"/>
    <w:rsid w:val="002D03C5"/>
    <w:rsid w:val="002D0642"/>
    <w:rsid w:val="002D08B1"/>
    <w:rsid w:val="002E0CD7"/>
    <w:rsid w:val="002E2446"/>
    <w:rsid w:val="00304AC1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1E25"/>
    <w:rsid w:val="003A63EE"/>
    <w:rsid w:val="003A7A56"/>
    <w:rsid w:val="003B39EC"/>
    <w:rsid w:val="003D06BE"/>
    <w:rsid w:val="003D318C"/>
    <w:rsid w:val="0041746F"/>
    <w:rsid w:val="00434563"/>
    <w:rsid w:val="0043728F"/>
    <w:rsid w:val="00441430"/>
    <w:rsid w:val="00441A7A"/>
    <w:rsid w:val="00450F07"/>
    <w:rsid w:val="0045246B"/>
    <w:rsid w:val="00453CD3"/>
    <w:rsid w:val="00460660"/>
    <w:rsid w:val="004624A6"/>
    <w:rsid w:val="004705A8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41076"/>
    <w:rsid w:val="00553375"/>
    <w:rsid w:val="005736B7"/>
    <w:rsid w:val="00575E5A"/>
    <w:rsid w:val="005801A7"/>
    <w:rsid w:val="005935C5"/>
    <w:rsid w:val="00593AE5"/>
    <w:rsid w:val="00597D00"/>
    <w:rsid w:val="005B76DD"/>
    <w:rsid w:val="005C2620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3735A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4D2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2B7A"/>
    <w:rsid w:val="007846E1"/>
    <w:rsid w:val="00791AC7"/>
    <w:rsid w:val="007A0AB5"/>
    <w:rsid w:val="007A0C04"/>
    <w:rsid w:val="007A36ED"/>
    <w:rsid w:val="007B4B2B"/>
    <w:rsid w:val="007B570C"/>
    <w:rsid w:val="007B7DFB"/>
    <w:rsid w:val="007C589B"/>
    <w:rsid w:val="007C6215"/>
    <w:rsid w:val="007D37B0"/>
    <w:rsid w:val="007E165D"/>
    <w:rsid w:val="007E4A6E"/>
    <w:rsid w:val="007F03BC"/>
    <w:rsid w:val="007F56A7"/>
    <w:rsid w:val="007F5EC4"/>
    <w:rsid w:val="00807DD0"/>
    <w:rsid w:val="00823FBB"/>
    <w:rsid w:val="00826D98"/>
    <w:rsid w:val="0083030A"/>
    <w:rsid w:val="00845228"/>
    <w:rsid w:val="008659F3"/>
    <w:rsid w:val="00886D4B"/>
    <w:rsid w:val="00895406"/>
    <w:rsid w:val="008A3568"/>
    <w:rsid w:val="008B1447"/>
    <w:rsid w:val="008B46D3"/>
    <w:rsid w:val="008B6595"/>
    <w:rsid w:val="008B71A8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5641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2E84"/>
    <w:rsid w:val="00B8518B"/>
    <w:rsid w:val="00BC51D3"/>
    <w:rsid w:val="00BC65C6"/>
    <w:rsid w:val="00BC7766"/>
    <w:rsid w:val="00BD32CD"/>
    <w:rsid w:val="00BD38AB"/>
    <w:rsid w:val="00BD7E91"/>
    <w:rsid w:val="00BE472C"/>
    <w:rsid w:val="00BF7ECB"/>
    <w:rsid w:val="00C02D0A"/>
    <w:rsid w:val="00C03A6E"/>
    <w:rsid w:val="00C03A71"/>
    <w:rsid w:val="00C03BBB"/>
    <w:rsid w:val="00C14266"/>
    <w:rsid w:val="00C24C30"/>
    <w:rsid w:val="00C36727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C1763"/>
    <w:rsid w:val="00CC7507"/>
    <w:rsid w:val="00CD16B7"/>
    <w:rsid w:val="00CD1FC4"/>
    <w:rsid w:val="00CE35C3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46A5C"/>
    <w:rsid w:val="00D6163D"/>
    <w:rsid w:val="00D64378"/>
    <w:rsid w:val="00D6524B"/>
    <w:rsid w:val="00D77DE5"/>
    <w:rsid w:val="00D831A3"/>
    <w:rsid w:val="00D85C5B"/>
    <w:rsid w:val="00DA7812"/>
    <w:rsid w:val="00DC41AD"/>
    <w:rsid w:val="00DC75F3"/>
    <w:rsid w:val="00DD46F3"/>
    <w:rsid w:val="00DE56F2"/>
    <w:rsid w:val="00DF116D"/>
    <w:rsid w:val="00DF243E"/>
    <w:rsid w:val="00DF5AC1"/>
    <w:rsid w:val="00E153F0"/>
    <w:rsid w:val="00E16A77"/>
    <w:rsid w:val="00E17FE7"/>
    <w:rsid w:val="00E35C55"/>
    <w:rsid w:val="00E547D3"/>
    <w:rsid w:val="00E7068E"/>
    <w:rsid w:val="00E93C74"/>
    <w:rsid w:val="00E967DA"/>
    <w:rsid w:val="00EA1DA7"/>
    <w:rsid w:val="00EB104F"/>
    <w:rsid w:val="00ED14BD"/>
    <w:rsid w:val="00EE5848"/>
    <w:rsid w:val="00F010DC"/>
    <w:rsid w:val="00F02E2E"/>
    <w:rsid w:val="00F0533E"/>
    <w:rsid w:val="00F1048D"/>
    <w:rsid w:val="00F12DEC"/>
    <w:rsid w:val="00F142FE"/>
    <w:rsid w:val="00F1715C"/>
    <w:rsid w:val="00F20995"/>
    <w:rsid w:val="00F30576"/>
    <w:rsid w:val="00F310F8"/>
    <w:rsid w:val="00F35939"/>
    <w:rsid w:val="00F45607"/>
    <w:rsid w:val="00F63543"/>
    <w:rsid w:val="00F659EB"/>
    <w:rsid w:val="00F6691A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NovakJiri3@spravazeleznic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enesJ@spravazeleznic.cz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2898</Words>
  <Characters>17101</Characters>
  <Application>Microsoft Office Word</Application>
  <DocSecurity>0</DocSecurity>
  <Lines>142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54</cp:revision>
  <cp:lastPrinted>2017-11-28T17:18:00Z</cp:lastPrinted>
  <dcterms:created xsi:type="dcterms:W3CDTF">2023-03-01T08:23:00Z</dcterms:created>
  <dcterms:modified xsi:type="dcterms:W3CDTF">2025-07-15T09:59:00Z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